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17959116">
    <w:abstractNumId w:val="3"/>
  </w:num>
  <w:num w:numId="2" w16cid:durableId="115367549">
    <w:abstractNumId w:val="12"/>
  </w:num>
  <w:num w:numId="3" w16cid:durableId="942540337">
    <w:abstractNumId w:val="2"/>
  </w:num>
  <w:num w:numId="4" w16cid:durableId="422845331">
    <w:abstractNumId w:val="10"/>
  </w:num>
  <w:num w:numId="5" w16cid:durableId="403379385">
    <w:abstractNumId w:val="7"/>
  </w:num>
  <w:num w:numId="6" w16cid:durableId="1569458153">
    <w:abstractNumId w:val="6"/>
  </w:num>
  <w:num w:numId="7" w16cid:durableId="1061908139">
    <w:abstractNumId w:val="4"/>
  </w:num>
  <w:num w:numId="8" w16cid:durableId="969943132">
    <w:abstractNumId w:val="8"/>
  </w:num>
  <w:num w:numId="9" w16cid:durableId="593437841">
    <w:abstractNumId w:val="1"/>
  </w:num>
  <w:num w:numId="10" w16cid:durableId="1670253238">
    <w:abstractNumId w:val="0"/>
  </w:num>
  <w:num w:numId="11" w16cid:durableId="1748991988">
    <w:abstractNumId w:val="11"/>
  </w:num>
  <w:num w:numId="12" w16cid:durableId="527915976">
    <w:abstractNumId w:val="5"/>
  </w:num>
  <w:num w:numId="13" w16cid:durableId="942879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3694A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https://projektai.intranet.litgrid.eu/PWA/Balbieriškio%20TP/_layouts/15/DocIdRedir.aspx?ID=PVIS-1389109399-36</Url>
      <Description>PVIS-1389109399-36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PVIS-1389109399-36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C69DAE-2576-442E-8B2A-5DC4476853FA}"/>
</file>

<file path=customXml/itemProps3.xml><?xml version="1.0" encoding="utf-8"?>
<ds:datastoreItem xmlns:ds="http://schemas.openxmlformats.org/officeDocument/2006/customXml" ds:itemID="{8001C6ED-0EA3-474E-8947-A75C8DB8E3DC}"/>
</file>

<file path=customXml/itemProps4.xml><?xml version="1.0" encoding="utf-8"?>
<ds:datastoreItem xmlns:ds="http://schemas.openxmlformats.org/officeDocument/2006/customXml" ds:itemID="{5F49651E-CEF6-4233-A063-0A594F0801C9}"/>
</file>

<file path=customXml/itemProps5.xml><?xml version="1.0" encoding="utf-8"?>
<ds:datastoreItem xmlns:ds="http://schemas.openxmlformats.org/officeDocument/2006/customXml" ds:itemID="{6CA02CB9-200A-431A-9CAC-E69E7ED3BE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3a597a57-faa6-44df-9dfc-ac00e2d2a1ed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62a15faf-939d-488f-b1e0-f4505df5d222</vt:lpwstr>
  </property>
</Properties>
</file>